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2C8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одредаба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18.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Службени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РС”,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99/11, 2/12 и 46/2014)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Службени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РС”,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105/2016 и 112/2017)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Упутства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03-220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21.2.2022.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6EADCFF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категорији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самостално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</w:p>
    <w:p w14:paraId="1D1009A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00EB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ОПШТЕ ОДРЕДБЕ</w:t>
      </w:r>
    </w:p>
    <w:p w14:paraId="19502B7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F35B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категорији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самостално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чиме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директно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усмеравају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стварање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промовисање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DDB7E25" w14:textId="4A43BD76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предузетници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имовинских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измонтираном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60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минута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50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минута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укључујући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најавну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о</w:t>
      </w:r>
      <w:proofErr w:type="spellStart"/>
      <w:r>
        <w:rPr>
          <w:rFonts w:asciiTheme="minorHAnsi" w:hAnsiTheme="minorHAnsi" w:cstheme="minorHAnsi"/>
          <w:sz w:val="22"/>
          <w:szCs w:val="22"/>
          <w:lang w:val="sr-Cyrl-RS"/>
        </w:rPr>
        <w:t>дј</w:t>
      </w:r>
      <w:r w:rsidRPr="004D68E4">
        <w:rPr>
          <w:rFonts w:asciiTheme="minorHAnsi" w:hAnsiTheme="minorHAnsi" w:cstheme="minorHAnsi"/>
          <w:sz w:val="22"/>
          <w:szCs w:val="22"/>
        </w:rPr>
        <w:t>авну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шпицу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6883502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уписани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одговарајући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Агенције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привредне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АПР“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води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територију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регистрованом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претежном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делатношћу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аудио-визуелних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телевизијског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програма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дистрибуције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аудио-визуелних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телевизијског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програма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“);</w:t>
      </w:r>
    </w:p>
    <w:p w14:paraId="10A67B4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блокирани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периоду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DD4127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неплаћене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BD5E1A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искључиво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сопственим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спонзора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приватних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инвеститора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фондова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сопственим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 (и/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73ED63A" w14:textId="38A3FC5C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територији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потрошили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најмање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8.000.000,00 РСД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>
        <w:rPr>
          <w:rFonts w:asciiTheme="minorHAnsi" w:hAnsiTheme="minorHAnsi" w:cstheme="minorHAnsi"/>
          <w:sz w:val="22"/>
          <w:szCs w:val="22"/>
          <w:lang w:val="sr-Cyrl-RS"/>
        </w:rPr>
        <w:t xml:space="preserve">, односно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најмање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3.000.000,00 РСД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тачки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што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картицама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0AD53FF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складу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важећим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продукционим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стандардима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47C512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потпуности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целокупна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музичким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композицијама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04308A2" w14:textId="4036D1B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r w:rsidR="001676F4">
        <w:rPr>
          <w:rFonts w:asciiTheme="minorHAnsi" w:hAnsiTheme="minorHAnsi" w:cstheme="minorHAnsi"/>
          <w:sz w:val="22"/>
          <w:szCs w:val="22"/>
          <w:lang w:val="sr-Cyrl-RS"/>
        </w:rPr>
        <w:t xml:space="preserve">да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завршетка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монтаже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протекло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4BF1687" w14:textId="21872A73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•</w:t>
      </w:r>
      <w:r w:rsidR="00807434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приказани</w:t>
      </w:r>
      <w:proofErr w:type="spellEnd"/>
      <w:r w:rsidR="001676F4">
        <w:rPr>
          <w:rFonts w:asciiTheme="minorHAnsi" w:hAnsiTheme="minorHAnsi" w:cstheme="minorHAnsi"/>
          <w:sz w:val="22"/>
          <w:szCs w:val="22"/>
          <w:lang w:val="sr-Cyrl-RS"/>
        </w:rPr>
        <w:t xml:space="preserve">, да </w:t>
      </w:r>
      <w:r w:rsidR="0075029A">
        <w:rPr>
          <w:rFonts w:asciiTheme="minorHAnsi" w:hAnsiTheme="minorHAnsi" w:cstheme="minorHAnsi"/>
          <w:sz w:val="22"/>
          <w:szCs w:val="22"/>
          <w:lang w:val="sr-Cyrl-RS"/>
        </w:rPr>
        <w:t>је приказивање започето</w:t>
      </w:r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најкасније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расписивања</w:t>
      </w:r>
      <w:proofErr w:type="spellEnd"/>
      <w:r w:rsidR="0075029A">
        <w:rPr>
          <w:rFonts w:asciiTheme="minorHAnsi" w:hAnsiTheme="minorHAnsi" w:cstheme="minorHAnsi"/>
          <w:sz w:val="22"/>
          <w:szCs w:val="22"/>
          <w:lang w:val="sr-Cyrl-RS"/>
        </w:rPr>
        <w:t xml:space="preserve"> овог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1D03ED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0D088E0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произведен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произведеног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ТВ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серије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C3CC7E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ранијим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испунио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настале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последица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надлежном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proofErr w:type="gramStart"/>
      <w:r w:rsidRPr="004D68E4">
        <w:rPr>
          <w:rFonts w:asciiTheme="minorHAnsi" w:hAnsiTheme="minorHAnsi" w:cstheme="minorHAnsi"/>
          <w:sz w:val="22"/>
          <w:szCs w:val="22"/>
        </w:rPr>
        <w:t>: ”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Министарство</w:t>
      </w:r>
      <w:proofErr w:type="spellEnd"/>
      <w:proofErr w:type="gramEnd"/>
      <w:r w:rsidRPr="004D68E4">
        <w:rPr>
          <w:rFonts w:asciiTheme="minorHAnsi" w:hAnsiTheme="minorHAnsi" w:cstheme="minorHAnsi"/>
          <w:sz w:val="22"/>
          <w:szCs w:val="22"/>
        </w:rPr>
        <w:t>”)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реализацији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подржаних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измири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62CCE4D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истека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периода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забрана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9731D3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аплицирају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наменским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нарученим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наставним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намењеним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маркетингу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реклами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порнографским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вређа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људско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достојанство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заговара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подстиче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дискриминација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мржња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насиље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групе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због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припадања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неприпадања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етничкој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групи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сексуалној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опредељености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личном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својству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вређа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морал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интерес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0034810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институција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добијених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изузев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7947A0C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налазе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повраћаја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вредности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) и</w:t>
      </w:r>
    </w:p>
    <w:p w14:paraId="4BF07A1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тешкоћама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смислу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389A83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062AB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подразумева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0EA213F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поседује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капиталу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стекне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конвертибилних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обвезница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вараната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слично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7AE5926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друштва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контролисано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);</w:t>
      </w:r>
    </w:p>
    <w:p w14:paraId="542E237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трећег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0912EF3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физичко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предузетник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већински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6709F5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lastRenderedPageBreak/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подразумева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199CF46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побочној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3559685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супружник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ванбрачни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партнер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42059A2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усвојилац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усвојеник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потомци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усвојеника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 и</w:t>
      </w:r>
    </w:p>
    <w:p w14:paraId="2A722B09" w14:textId="333F3FC4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живе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заједничком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домаћинству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2A8B6040" w14:textId="77777777" w:rsidR="00807434" w:rsidRPr="004D68E4" w:rsidRDefault="0080743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E9CAE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неверодостојним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нетачним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подацима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одбачене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санкционисани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C1A5A4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057B8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ДОДЕЛА СРЕДСТАВА</w:t>
      </w:r>
    </w:p>
    <w:p w14:paraId="1F5FE26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BC2301" w14:textId="77777777" w:rsidR="0080743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додељиваће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50%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ефективно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утрошених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приватних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7E2BEA" w14:textId="3FF846AD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фондова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узимају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обзир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искључиво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циљу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утврђивања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испуњености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5)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Уводних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4F67925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субвенције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бруто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одбитка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накнада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подносилац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зависи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расположивих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опредељених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5364ECE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местима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релевантним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18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месеци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1E0BAE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организатору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манифестације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подржало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надлежно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без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накнаде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уступи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манифестацији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056EDBC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међусобна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одговорности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питања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тичу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укључујући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ограничавајући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коришћења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последице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08F1388F" w14:textId="77777777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63CDE" w14:textId="77777777" w:rsidR="00807434" w:rsidRPr="004D68E4" w:rsidRDefault="0080743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13775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>КОНКУРСНА ДОКУМЕНТАЦИЈА</w:t>
      </w:r>
    </w:p>
    <w:p w14:paraId="6AD59FE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3C78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активан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радну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финалну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верзију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монтираног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профил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биографију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продуцентску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експликацију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сценаристом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сниматељем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носиоцима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имовинских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такав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висини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утрошених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картице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одричу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хонорара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потписану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снабдевену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печатом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професионалне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навођењем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држављанства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потписану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снабдевену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печатом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институција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изузев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добијеним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текућој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фискалне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налази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повраћаја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привредни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субјект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тешкоћама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смислу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3);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дистрибутерски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маркетиншки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2EE9FD2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признаје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признаје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1A09D3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C836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ТРАЈАЊЕ ЈАВНОГ КОНКУРСА</w:t>
      </w:r>
    </w:p>
    <w:p w14:paraId="000ABFC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BB3DF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месец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11.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априла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11.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9E03A8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достављају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српском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језику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ПДФ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формату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претварати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ПДФ)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посебно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редоследу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адресу</w:t>
      </w:r>
      <w:proofErr w:type="spellEnd"/>
    </w:p>
    <w:p w14:paraId="6A32C760" w14:textId="3A7FF913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C050DC" w:rsidRPr="0039382D">
          <w:rPr>
            <w:rStyle w:val="Hyperlink"/>
            <w:rFonts w:asciiTheme="minorHAnsi" w:hAnsiTheme="minorHAnsi" w:cstheme="minorHAnsi"/>
            <w:sz w:val="22"/>
            <w:szCs w:val="22"/>
          </w:rPr>
          <w:t>конкурс2024@fcs.rs</w:t>
        </w:r>
      </w:hyperlink>
      <w:r w:rsidR="00C050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назнаком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пријављује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у </w:t>
      </w:r>
      <w:r w:rsidR="00C050DC">
        <w:rPr>
          <w:rFonts w:asciiTheme="minorHAnsi" w:hAnsiTheme="minorHAnsi" w:cstheme="minorHAnsi"/>
          <w:sz w:val="22"/>
          <w:szCs w:val="22"/>
          <w:lang w:val="sr-Cyrl-RS"/>
        </w:rPr>
        <w:t>наслову имејла</w:t>
      </w:r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917A8C2" w14:textId="58FBA451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саставни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доступни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="00C050DC" w:rsidRPr="0039382D">
          <w:rPr>
            <w:rStyle w:val="Hyperlink"/>
            <w:rFonts w:asciiTheme="minorHAnsi" w:hAnsiTheme="minorHAnsi" w:cstheme="minorHAnsi"/>
            <w:sz w:val="22"/>
            <w:szCs w:val="22"/>
          </w:rPr>
          <w:t>www.fcs.rs</w:t>
        </w:r>
      </w:hyperlink>
      <w:r w:rsidRPr="004D68E4">
        <w:rPr>
          <w:rFonts w:asciiTheme="minorHAnsi" w:hAnsiTheme="minorHAnsi" w:cstheme="minorHAnsi"/>
          <w:sz w:val="22"/>
          <w:szCs w:val="22"/>
        </w:rPr>
        <w:t>).</w:t>
      </w:r>
    </w:p>
    <w:p w14:paraId="5BB1F01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Неблаговремене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непотпуне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поднете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овлашћених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поднете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разматрати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5455A05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F5039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7BDD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>ДОНОШЕЊЕ ОДЛУКЕ</w:t>
      </w:r>
    </w:p>
    <w:p w14:paraId="6D5A3F2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5FD3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складу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утврђеним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РС“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99/2011, 2/2012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и 46/2014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УС)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РС“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105/2016 И 112/2017),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4440ABA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оригиналност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аутентичност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идеје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006231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2)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иновативност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убедљивост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језика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67D527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3)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наративна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структура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карактеризација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ликова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уверљивост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дијалога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0D19E0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4)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оцена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кинематографије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4A7A71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5)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представљању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духа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времена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EC2B28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6)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очекивана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привлачност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међународни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простор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E47FF7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7)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успешност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гледаност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фестивалима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награде</w:t>
      </w:r>
      <w:proofErr w:type="spellEnd"/>
      <w:proofErr w:type="gramStart"/>
      <w:r w:rsidRPr="004D68E4">
        <w:rPr>
          <w:rFonts w:asciiTheme="minorHAnsi" w:hAnsiTheme="minorHAnsi" w:cstheme="minorHAnsi"/>
          <w:sz w:val="22"/>
          <w:szCs w:val="22"/>
        </w:rPr>
        <w:t>);</w:t>
      </w:r>
      <w:proofErr w:type="gramEnd"/>
    </w:p>
    <w:p w14:paraId="3B20864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8)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сложеност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термини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9CCD41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9)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1F094C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10)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усклађеност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општим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интересом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циљевима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приоритетима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589434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11)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иновативност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DE6EDA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12)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капацитети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реализацију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4F38315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(а)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стручни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уметнички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капацитети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,</w:t>
      </w:r>
    </w:p>
    <w:p w14:paraId="39C9418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(б)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неопходни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ресурси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8E4967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13)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финансијски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разрађеност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усклађеност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активности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економичност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финансирања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1385E44" w14:textId="10983C78" w:rsidR="0080743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14)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утицаја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живота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4B71F8E" w14:textId="77777777" w:rsidR="00C050DC" w:rsidRPr="004D68E4" w:rsidRDefault="00C050DC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60FF9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60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затварања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доставља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93A82C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дискреционо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предложи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подршку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иако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сматра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погледу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14B7B8E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lastRenderedPageBreak/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73C462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B819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уверење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измиреним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приходима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старије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потврђује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доспеле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неплаћене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трезор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7880FC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31EFD" w14:textId="56678DA7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откуп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музичким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композицијама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унапређивање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истраживање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обилазак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кастинга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пробних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прегледа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откупа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архивског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акредитација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израде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промо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тизера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осигурања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адвокатске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рачуноводствене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поштанске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репрезентације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горива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режијске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запослених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закуп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просторија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комуналне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…)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слично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18B991AA" w14:textId="77777777" w:rsidR="00C050DC" w:rsidRPr="004D68E4" w:rsidRDefault="00C050DC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0E8EA4" w14:textId="4DA8B88B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ОСТАЛЕ ИНФОРМАЦИЈЕ</w:t>
      </w:r>
    </w:p>
    <w:p w14:paraId="448301E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примењивати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приликом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спровођења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питања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изричито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примењиваће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општем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0ED742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потврђују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упознати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прихватају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расписаног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196503B6" w14:textId="7CF58335" w:rsidR="0080743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додатне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информације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објашњења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спровођење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путем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телефона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011 2625-131,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путем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поште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C050DC" w:rsidRPr="0039382D">
          <w:rPr>
            <w:rStyle w:val="Hyperlink"/>
            <w:rFonts w:asciiTheme="minorHAnsi" w:hAnsiTheme="minorHAnsi" w:cstheme="minorHAnsi"/>
            <w:sz w:val="22"/>
            <w:szCs w:val="22"/>
          </w:rPr>
          <w:t>konkurs2024@fcs.rs</w:t>
        </w:r>
      </w:hyperlink>
    </w:p>
    <w:p w14:paraId="7128DD44" w14:textId="77777777" w:rsidR="00C050DC" w:rsidRPr="004D68E4" w:rsidRDefault="00C050DC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87BBB" w14:textId="096614AC" w:rsidR="001040C1" w:rsidRPr="00AC52F5" w:rsidRDefault="001040C1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040C1" w:rsidRPr="00AC52F5" w:rsidSect="00F676D1">
      <w:footerReference w:type="default" r:id="rId10"/>
      <w:pgSz w:w="11906" w:h="16838"/>
      <w:pgMar w:top="1440" w:right="1440" w:bottom="1440" w:left="1440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BA64" w14:textId="77777777" w:rsidR="002A5C3F" w:rsidRDefault="002A5C3F" w:rsidP="00AC52F5">
      <w:pPr>
        <w:spacing w:after="0" w:line="240" w:lineRule="auto"/>
      </w:pPr>
      <w:r>
        <w:separator/>
      </w:r>
    </w:p>
  </w:endnote>
  <w:endnote w:type="continuationSeparator" w:id="0">
    <w:p w14:paraId="2AB16EC9" w14:textId="77777777" w:rsidR="002A5C3F" w:rsidRDefault="002A5C3F" w:rsidP="00AC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365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5480A49" w14:textId="52349F0E" w:rsidR="00AC52F5" w:rsidRPr="00AC52F5" w:rsidRDefault="00AC52F5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C52F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C52F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C52F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C52F5">
          <w:rPr>
            <w:rFonts w:asciiTheme="minorHAnsi" w:hAnsiTheme="minorHAnsi" w:cstheme="minorHAnsi"/>
            <w:sz w:val="22"/>
            <w:szCs w:val="22"/>
            <w:lang w:val="sr-Latn-RS"/>
          </w:rPr>
          <w:t>2</w:t>
        </w:r>
        <w:r w:rsidRPr="00AC52F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5962134" w14:textId="77777777" w:rsidR="00AC52F5" w:rsidRDefault="00AC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A3EF" w14:textId="77777777" w:rsidR="002A5C3F" w:rsidRDefault="002A5C3F" w:rsidP="00AC52F5">
      <w:pPr>
        <w:spacing w:after="0" w:line="240" w:lineRule="auto"/>
      </w:pPr>
      <w:r>
        <w:separator/>
      </w:r>
    </w:p>
  </w:footnote>
  <w:footnote w:type="continuationSeparator" w:id="0">
    <w:p w14:paraId="297CEE82" w14:textId="77777777" w:rsidR="002A5C3F" w:rsidRDefault="002A5C3F" w:rsidP="00AC5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D15"/>
    <w:multiLevelType w:val="hybridMultilevel"/>
    <w:tmpl w:val="18C498CE"/>
    <w:lvl w:ilvl="0" w:tplc="05781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3F41"/>
    <w:multiLevelType w:val="hybridMultilevel"/>
    <w:tmpl w:val="8220824C"/>
    <w:lvl w:ilvl="0" w:tplc="EBE8D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1144D"/>
    <w:multiLevelType w:val="hybridMultilevel"/>
    <w:tmpl w:val="47AAA038"/>
    <w:lvl w:ilvl="0" w:tplc="94A88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A3C53"/>
    <w:multiLevelType w:val="hybridMultilevel"/>
    <w:tmpl w:val="10AE46FC"/>
    <w:lvl w:ilvl="0" w:tplc="AEA0A9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79309">
    <w:abstractNumId w:val="1"/>
  </w:num>
  <w:num w:numId="2" w16cid:durableId="377702387">
    <w:abstractNumId w:val="0"/>
  </w:num>
  <w:num w:numId="3" w16cid:durableId="1904021616">
    <w:abstractNumId w:val="2"/>
  </w:num>
  <w:num w:numId="4" w16cid:durableId="1472594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F5"/>
    <w:rsid w:val="000A3028"/>
    <w:rsid w:val="000D6257"/>
    <w:rsid w:val="001040C1"/>
    <w:rsid w:val="001676F4"/>
    <w:rsid w:val="00175FA0"/>
    <w:rsid w:val="001F0956"/>
    <w:rsid w:val="002A5C3F"/>
    <w:rsid w:val="004D68E4"/>
    <w:rsid w:val="005F00D0"/>
    <w:rsid w:val="00685033"/>
    <w:rsid w:val="006F3C59"/>
    <w:rsid w:val="006F6045"/>
    <w:rsid w:val="0075029A"/>
    <w:rsid w:val="008019DA"/>
    <w:rsid w:val="00807434"/>
    <w:rsid w:val="008A7A03"/>
    <w:rsid w:val="008D4358"/>
    <w:rsid w:val="00AC52F5"/>
    <w:rsid w:val="00B05AFF"/>
    <w:rsid w:val="00BA0EEB"/>
    <w:rsid w:val="00C050DC"/>
    <w:rsid w:val="00F6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EF213A"/>
  <w15:chartTrackingRefBased/>
  <w15:docId w15:val="{C43ADBBA-82BA-4058-B0D0-CBA962E2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2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2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2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2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5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2F5"/>
  </w:style>
  <w:style w:type="paragraph" w:styleId="Footer">
    <w:name w:val="footer"/>
    <w:basedOn w:val="Normal"/>
    <w:link w:val="FooterChar"/>
    <w:uiPriority w:val="99"/>
    <w:unhideWhenUsed/>
    <w:rsid w:val="00AC5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2F5"/>
  </w:style>
  <w:style w:type="character" w:styleId="Hyperlink">
    <w:name w:val="Hyperlink"/>
    <w:basedOn w:val="DefaultParagraphFont"/>
    <w:uiPriority w:val="99"/>
    <w:unhideWhenUsed/>
    <w:rsid w:val="00807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82;&#1086;&#1085;&#1082;&#1091;&#1088;&#1089;2024@fcs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kurs2024@fc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2252</Words>
  <Characters>12837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Đurovac</dc:creator>
  <cp:keywords/>
  <dc:description/>
  <cp:lastModifiedBy>Iva Colic</cp:lastModifiedBy>
  <cp:revision>6</cp:revision>
  <dcterms:created xsi:type="dcterms:W3CDTF">2024-04-10T11:35:00Z</dcterms:created>
  <dcterms:modified xsi:type="dcterms:W3CDTF">2024-04-11T09:37:00Z</dcterms:modified>
</cp:coreProperties>
</file>