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ECB0" w14:textId="1119C101" w:rsidR="00E4494B" w:rsidRPr="00E4494B" w:rsidRDefault="00E4494B" w:rsidP="00E4494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1611CBE" w14:textId="73E324C0" w:rsidR="00E4494B" w:rsidRDefault="00E4494B" w:rsidP="00E44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06D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C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0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CC">
        <w:rPr>
          <w:rFonts w:ascii="Times New Roman" w:hAnsi="Times New Roman" w:cs="Times New Roman"/>
          <w:sz w:val="24"/>
          <w:szCs w:val="24"/>
        </w:rPr>
        <w:t>чл</w:t>
      </w:r>
      <w:r w:rsidRPr="00406DCC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proofErr w:type="spellEnd"/>
      <w:r w:rsidRPr="00406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DCC">
        <w:rPr>
          <w:rFonts w:ascii="Times New Roman" w:hAnsi="Times New Roman" w:cs="Times New Roman"/>
          <w:sz w:val="24"/>
          <w:szCs w:val="24"/>
          <w:lang w:val="sr-Cyrl-CS"/>
        </w:rPr>
        <w:t xml:space="preserve">23. став 2. и члана 56. Закона о државној управи </w:t>
      </w:r>
      <w:r w:rsidRPr="00406DCC"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РС” бр.</w:t>
      </w:r>
      <w:r w:rsidRPr="00406DCC">
        <w:rPr>
          <w:rFonts w:ascii="Times New Roman" w:hAnsi="Times New Roman" w:cs="Times New Roman"/>
          <w:sz w:val="24"/>
          <w:szCs w:val="24"/>
        </w:rPr>
        <w:t xml:space="preserve"> 79/05, 101/07, 95/10, </w:t>
      </w:r>
      <w:r w:rsidRPr="00406DCC">
        <w:rPr>
          <w:rFonts w:ascii="Times New Roman" w:hAnsi="Times New Roman" w:cs="Times New Roman"/>
          <w:sz w:val="24"/>
          <w:szCs w:val="24"/>
          <w:lang w:val="sr-Cyrl-RS"/>
        </w:rPr>
        <w:t xml:space="preserve">99/14, </w:t>
      </w:r>
      <w:r w:rsidRPr="00406DCC">
        <w:rPr>
          <w:rFonts w:ascii="Times New Roman" w:hAnsi="Times New Roman" w:cs="Times New Roman"/>
          <w:sz w:val="24"/>
          <w:szCs w:val="24"/>
        </w:rPr>
        <w:t>30/18 и 47/18</w:t>
      </w:r>
      <w:r w:rsidRPr="00406DCC">
        <w:rPr>
          <w:rFonts w:ascii="Times New Roman" w:hAnsi="Times New Roman" w:cs="Times New Roman"/>
          <w:sz w:val="24"/>
          <w:szCs w:val="24"/>
          <w:lang w:val="sr-Cyrl-CS"/>
        </w:rPr>
        <w:t xml:space="preserve">), а у вези са чланом 18. став 6. Закона о кинематографији („Службени гласник РС“, бр.99/11, 2/12 – </w:t>
      </w:r>
      <w:proofErr w:type="spellStart"/>
      <w:r w:rsidRPr="00406DCC">
        <w:rPr>
          <w:rFonts w:ascii="Times New Roman" w:hAnsi="Times New Roman" w:cs="Times New Roman"/>
          <w:sz w:val="24"/>
          <w:szCs w:val="24"/>
          <w:lang w:val="sr-Cyrl-CS"/>
        </w:rPr>
        <w:t>испр</w:t>
      </w:r>
      <w:proofErr w:type="spellEnd"/>
      <w:r w:rsidRPr="00406DCC">
        <w:rPr>
          <w:rFonts w:ascii="Times New Roman" w:hAnsi="Times New Roman" w:cs="Times New Roman"/>
          <w:sz w:val="24"/>
          <w:szCs w:val="24"/>
          <w:lang w:val="sr-Cyrl-CS"/>
        </w:rPr>
        <w:t xml:space="preserve">. и 46/14-Одлука УС), Уредбе о критеријумима, мерилима и начину избора пројеката у култури који се финансирају и </w:t>
      </w:r>
      <w:proofErr w:type="spellStart"/>
      <w:r w:rsidRPr="00406DCC">
        <w:rPr>
          <w:rFonts w:ascii="Times New Roman" w:hAnsi="Times New Roman" w:cs="Times New Roman"/>
          <w:sz w:val="24"/>
          <w:szCs w:val="24"/>
          <w:lang w:val="sr-Cyrl-CS"/>
        </w:rPr>
        <w:t>суфинансирају</w:t>
      </w:r>
      <w:proofErr w:type="spellEnd"/>
      <w:r w:rsidRPr="00406DCC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Републике Србије, аутономне покрајине, односно јединица локалне самоуправе („Службени гласник РС“, бр. 105/2016 и 112/2017)</w:t>
      </w:r>
      <w:r w:rsidRPr="00406DCC">
        <w:rPr>
          <w:rFonts w:ascii="Times New Roman" w:hAnsi="Times New Roman" w:cs="Times New Roman"/>
          <w:sz w:val="24"/>
          <w:szCs w:val="24"/>
        </w:rPr>
        <w:t xml:space="preserve"> </w:t>
      </w:r>
      <w:r w:rsidRPr="00406DCC">
        <w:rPr>
          <w:rFonts w:ascii="Times New Roman" w:hAnsi="Times New Roman" w:cs="Times New Roman"/>
          <w:sz w:val="24"/>
          <w:szCs w:val="24"/>
          <w:lang w:val="sr-Cyrl-RS"/>
        </w:rPr>
        <w:t>и Одлуке Министарства културе број: 642-01-15/2023-05 од 3. априла 2023. године</w:t>
      </w:r>
    </w:p>
    <w:p w14:paraId="059861B8" w14:textId="77777777" w:rsidR="00E4494B" w:rsidRPr="00406DCC" w:rsidRDefault="00E4494B" w:rsidP="00E4494B">
      <w:pPr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highlight w:val="yellow"/>
        </w:rPr>
      </w:pPr>
    </w:p>
    <w:p w14:paraId="41E98844" w14:textId="77777777" w:rsidR="00E4494B" w:rsidRDefault="00E4494B" w:rsidP="00E4494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2FCDA" wp14:editId="2C4B31EE">
            <wp:extent cx="457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71D756C" w14:textId="77777777" w:rsidR="00E4494B" w:rsidRPr="008E3EBD" w:rsidRDefault="00E4494B" w:rsidP="00E44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3EBD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002E8D39" w14:textId="77777777" w:rsidR="00E4494B" w:rsidRPr="008E3EBD" w:rsidRDefault="00E4494B" w:rsidP="00E4494B">
      <w:pPr>
        <w:pStyle w:val="NoSpacing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</w:pPr>
      <w:r w:rsidRPr="008E3EBD"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  <w:t>МИНИСТАРСТВО КУЛТУРЕ</w:t>
      </w:r>
    </w:p>
    <w:p w14:paraId="14EC8725" w14:textId="77777777" w:rsidR="00E4494B" w:rsidRDefault="00E4494B" w:rsidP="00E449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расписуjе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 О Н К У Р С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3847153" w14:textId="240E0BBF" w:rsidR="004A26C6" w:rsidRPr="00E4494B" w:rsidRDefault="00E4494B" w:rsidP="00153E1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финансирање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кинематографији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категорији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Преддигитализација</w:t>
      </w:r>
      <w:proofErr w:type="spellEnd"/>
      <w:r w:rsidR="004A26C6" w:rsidRPr="00E449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 w:rsidR="004A26C6" w:rsidRPr="00E449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дигитализација</w:t>
      </w:r>
      <w:proofErr w:type="spellEnd"/>
      <w:r w:rsidR="004A26C6" w:rsidRPr="00E449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биоскопа</w:t>
      </w:r>
      <w:proofErr w:type="spellEnd"/>
    </w:p>
    <w:p w14:paraId="5AFC4B27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E44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ЦИЉ КОНКУРСА</w:t>
      </w:r>
    </w:p>
    <w:p w14:paraId="1BDBF462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Циљеви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стварање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материјално-техничких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дигитализацију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свих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неопходних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припрема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уградњу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Цинема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пројекционе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опреме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што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обухвата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1619EE9F" w14:textId="3944C121" w:rsidR="00677DF4" w:rsidRDefault="004A26C6" w:rsidP="00677DF4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потребне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унутрашњ</w:t>
      </w:r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proofErr w:type="spellEnd"/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уређење</w:t>
      </w:r>
      <w:proofErr w:type="spellEnd"/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153E10"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технолошк</w:t>
      </w:r>
      <w:proofErr w:type="spellEnd"/>
      <w:r w:rsidR="00677D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</w:t>
      </w:r>
      <w:r w:rsid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опрему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68A98BF2" w14:textId="5BB9C3D8" w:rsidR="00677DF4" w:rsidRDefault="004A26C6" w:rsidP="00677DF4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ентеријерским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радовима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би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побољшали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акустику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сале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набавци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седишта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реализацији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инсталацијама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сали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технолошке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електроенергетске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инсталације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сл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.);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набавци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аудио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опреме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вишеканалну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репродукцију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звука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неопходне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будућу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дигитализацију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сале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набавци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пројекционих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екрана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електромоторним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погоном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шпановањем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постојећем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раму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); и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остало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што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учесник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образложи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неопходно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овој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фази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преддигитализације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03B0594" w14:textId="56357441" w:rsidR="004A26C6" w:rsidRPr="00677DF4" w:rsidRDefault="004A26C6" w:rsidP="00677DF4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дигитализацију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оних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постигнути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сви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материјално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технички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услови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дигитализацију</w:t>
      </w:r>
      <w:proofErr w:type="spellEnd"/>
      <w:r w:rsidRPr="00677D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C0A75B" w14:textId="77777777" w:rsidR="00153E10" w:rsidRDefault="00153E10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ОПШТЕ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A26C6"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ОДРЕДБЕ</w:t>
      </w:r>
    </w:p>
    <w:p w14:paraId="5351DE86" w14:textId="73EF0C88" w:rsidR="004A26C6" w:rsidRPr="00153E10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имају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приказивачи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уписани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регистар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Агенције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привредне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регистре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регистар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Републике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Србије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регистрованом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делатношћу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приказивања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кинематографских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испуњавају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следеће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6D299C4" w14:textId="49F53E21" w:rsidR="004A26C6" w:rsidRPr="00E4494B" w:rsidRDefault="00153E10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им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пословни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рачуни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нису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блокирани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периоду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подношења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доношења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одлуке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избору</w:t>
      </w:r>
      <w:proofErr w:type="spellEnd"/>
      <w:r w:rsidR="004A26C6"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добитника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</w:t>
      </w:r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немају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неплаћене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пореза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доприноса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јавних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дажбина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прописима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Републике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Србије</w:t>
      </w:r>
      <w:proofErr w:type="spellEnd"/>
    </w:p>
    <w:p w14:paraId="5861BAEF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384D4EA6" w14:textId="605D66A8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добитник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ранијим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испунио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доспеле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вези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уговором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закљученим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настале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последица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раскида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уговора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закљученог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и/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учесницима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реализацији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подржаних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измири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08CEF865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налази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поступку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повраћаја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мале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вредности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минимис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proofErr w:type="gram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071BF61D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било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тешкоћама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смислу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прописа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доделу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57EEFC9" w14:textId="77777777" w:rsidR="00153E10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неверодостојним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нетачним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подацима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одбачене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а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њихови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подносиоци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санкционисани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забраном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трајању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пет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6888D30" w14:textId="06654118" w:rsidR="00153E10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КОНКУРСНА ДОКУМЕНТАЦИЈА</w:t>
      </w:r>
    </w:p>
    <w:p w14:paraId="3BD5240C" w14:textId="2725F5A9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Учесници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дужни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следећу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3D6CF643" w14:textId="77777777" w:rsidR="00677DF4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извод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интернет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странице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Агенције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привредне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регистре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извод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другог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регистра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кога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види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регистрована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делатност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приказивање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кинематографски</w:t>
      </w:r>
      <w:proofErr w:type="spellEnd"/>
      <w:r w:rsidR="00677DF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х </w:t>
      </w:r>
      <w:proofErr w:type="spellStart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дела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0F70247D" w14:textId="60A70CFB" w:rsidR="00677DF4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br/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уверење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пореске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управе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нема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доспеле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а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неплаћене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пореза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других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јавних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давања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58E83E33" w14:textId="03A9ECF4" w:rsidR="00677DF4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доказ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регулисаном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имовинско-правном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статусу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извод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катастра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непокретности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коме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уписан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власник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корисник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закупац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уговор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дугорочном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закупу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3BB0BAF9" w14:textId="64805D24" w:rsidR="004A26C6" w:rsidRPr="00153E10" w:rsidRDefault="00153E10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ријаву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Попунити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приложени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формулар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Прилог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02.01</w:t>
      </w:r>
      <w:proofErr w:type="gram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0601AAB1" w14:textId="77777777" w:rsidR="004A26C6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личну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карту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Попунити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приложени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формулар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-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Прилог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02.02</w:t>
      </w:r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08FDFFAD" w14:textId="509299B4" w:rsidR="004A26C6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-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изјаву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учесника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налази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поступку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повраћаја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53E10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de minimis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није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привредни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субјект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тешкоћама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смислу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прописа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правилима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доделу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Попунити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приложени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формулар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-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Прилог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02.03</w:t>
      </w:r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13464C3E" w14:textId="77777777" w:rsidR="004A26C6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биографију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1AB787CE" w14:textId="1C8BB823" w:rsidR="00153E10" w:rsidRPr="00153E10" w:rsidRDefault="00153E10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фотографије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proofErr w:type="gram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23235A53" w14:textId="494CA611" w:rsidR="00153E10" w:rsidRPr="00153E10" w:rsidRDefault="00153E10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–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план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унапређења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материјално-техничких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услова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план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израду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пројектне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документације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план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набавке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опреме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план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одржавање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унапређење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услова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рада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биоскопу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сл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.</w:t>
      </w:r>
      <w:proofErr w:type="gram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0AE7A970" w14:textId="4B586953" w:rsidR="004A26C6" w:rsidRPr="00153E10" w:rsidRDefault="00153E10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</w:t>
      </w:r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колико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постоји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подршка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других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институција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у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смислу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финансирања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неке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од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фаза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претходно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изнетог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плана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унапређења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приложити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доказе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финансијској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подршци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745BE907" w14:textId="407170E0" w:rsidR="004A26C6" w:rsidRPr="00153E10" w:rsidRDefault="00153E10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онуде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пружаоца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услуге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неопходно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доставити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понуду</w:t>
      </w:r>
      <w:proofErr w:type="spellEnd"/>
      <w:proofErr w:type="gramEnd"/>
      <w:r w:rsidR="00677DF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домаћег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добављача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извођача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радова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набавку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опреме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складу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пројектном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документацијом</w:t>
      </w:r>
      <w:proofErr w:type="spellEnd"/>
      <w:r w:rsidR="004A26C6" w:rsidRPr="00153E10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1A3A1520" w14:textId="77777777" w:rsidR="00153E10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преглед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редовног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току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2020, 2021. и 2022.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Попунити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приложену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табелу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екселу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Прилог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03.01</w:t>
      </w:r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2CE2DCCF" w14:textId="19CD7164" w:rsidR="00153E10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извештај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обављеним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промотивним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активностима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приказивача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току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2020, 2021. и 2022.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штампаним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материјалима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скенирано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електронским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објавама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томе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0507AC5B" w14:textId="7983D3CE" w:rsidR="004A26C6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копију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публикација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издаје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уколико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постоји</w:t>
      </w:r>
      <w:proofErr w:type="spellEnd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59FF632F" w14:textId="77777777" w:rsidR="00153E10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димензионе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скице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пресека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биоскопске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сале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уколико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постоји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пројекат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копије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пресека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биоскопске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сале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постојећег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пројекта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уколико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пројекат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постоји</w:t>
      </w:r>
      <w:proofErr w:type="spellEnd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126BC773" w14:textId="516174CE" w:rsidR="004A26C6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спецификацију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постојеће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технолошке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опреме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биоскопске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пројекције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пројектори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пратећим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прибором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кино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кабини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пројекциони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екран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димензијама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аудио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систем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централном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опремом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кино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кабини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звучницима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сали</w:t>
      </w:r>
      <w:proofErr w:type="spellEnd"/>
      <w:proofErr w:type="gram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07C1050E" w14:textId="384AB269" w:rsidR="00153E10" w:rsidRPr="00153E10" w:rsidRDefault="004A26C6" w:rsidP="00153E10">
      <w:p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понуде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добављача</w:t>
      </w:r>
      <w:proofErr w:type="spellEnd"/>
      <w:r w:rsidRPr="00153E10">
        <w:rPr>
          <w:rFonts w:ascii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153E10">
        <w:rPr>
          <w:rFonts w:ascii="Times New Roman" w:hAnsi="Times New Roman" w:cs="Times New Roman"/>
          <w:sz w:val="24"/>
          <w:szCs w:val="24"/>
          <w:lang w:eastAsia="en-GB"/>
        </w:rPr>
        <w:t>извођача</w:t>
      </w:r>
      <w:proofErr w:type="spellEnd"/>
      <w:r w:rsid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>
        <w:rPr>
          <w:rFonts w:ascii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>
        <w:rPr>
          <w:rFonts w:ascii="Times New Roman" w:hAnsi="Times New Roman" w:cs="Times New Roman"/>
          <w:sz w:val="24"/>
          <w:szCs w:val="24"/>
          <w:lang w:eastAsia="en-GB"/>
        </w:rPr>
        <w:t>тражени</w:t>
      </w:r>
      <w:proofErr w:type="spellEnd"/>
      <w:r w:rsid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>
        <w:rPr>
          <w:rFonts w:ascii="Times New Roman" w:hAnsi="Times New Roman" w:cs="Times New Roman"/>
          <w:sz w:val="24"/>
          <w:szCs w:val="24"/>
          <w:lang w:eastAsia="en-GB"/>
        </w:rPr>
        <w:t>обухват</w:t>
      </w:r>
      <w:proofErr w:type="spellEnd"/>
      <w:r w:rsidR="00153E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153E10">
        <w:rPr>
          <w:rFonts w:ascii="Times New Roman" w:hAnsi="Times New Roman" w:cs="Times New Roman"/>
          <w:sz w:val="24"/>
          <w:szCs w:val="24"/>
          <w:lang w:eastAsia="en-GB"/>
        </w:rPr>
        <w:t>финансирања</w:t>
      </w:r>
      <w:proofErr w:type="spellEnd"/>
      <w:r w:rsidR="00153E10">
        <w:rPr>
          <w:rFonts w:ascii="Times New Roman" w:hAnsi="Times New Roman" w:cs="Times New Roman"/>
          <w:sz w:val="24"/>
          <w:szCs w:val="24"/>
          <w:lang w:val="sr-Cyrl-RS" w:eastAsia="en-GB"/>
        </w:rPr>
        <w:t>;</w:t>
      </w:r>
      <w:proofErr w:type="gramEnd"/>
    </w:p>
    <w:p w14:paraId="676DC79F" w14:textId="5B91E9BE" w:rsidR="004A26C6" w:rsidRPr="00E4494B" w:rsidRDefault="004A26C6" w:rsidP="00153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E10">
        <w:rPr>
          <w:rFonts w:ascii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потражују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потребно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доставити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предмером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предрачуном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оверену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одговорних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пројектаната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обухвата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приказује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фазу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траже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финансијска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9900243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потражују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доставити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задатак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сагледало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колики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интервенција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планиран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4B3CCF0" w14:textId="31A14F7F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изјаву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учесника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налази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поступку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повраћаја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53E1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 minimis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привредни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субјект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тешкоћама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смислу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прописа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доделу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D72730" w14:textId="77777777" w:rsidR="00677DF4" w:rsidRDefault="00677DF4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0C9CBC3" w14:textId="5B041644" w:rsidR="004A26C6" w:rsidRPr="00153E10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ДОДЕЛА СРЕДСТАВА</w:t>
      </w:r>
    </w:p>
    <w:p w14:paraId="789AB0A2" w14:textId="6ECF6669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додељују</w:t>
      </w:r>
      <w:proofErr w:type="spellEnd"/>
      <w:r w:rsid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доделу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мале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вредности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153E1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 minimis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61772AEA" w14:textId="69AA799E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додељују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виду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53E1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суфинансирања </w:t>
      </w:r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бруто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одбитка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пореза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накнада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Коначни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изабрани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подносилац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добити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зависи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расположивих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буџетских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опредељених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3B63AC9" w14:textId="77777777" w:rsidR="004A26C6" w:rsidRPr="00153E10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ТРАЈАЊЕ ЈАВНОГ КОНКУРСА</w:t>
      </w:r>
    </w:p>
    <w:p w14:paraId="70F9FA72" w14:textId="1B650A13" w:rsidR="004A26C6" w:rsidRPr="00424FA7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Конкурс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је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отворен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месец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дана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од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дана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јавног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објављивања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у “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Вечерњим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новостима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</w:t>
      </w:r>
      <w:proofErr w:type="gram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односно</w:t>
      </w:r>
      <w:proofErr w:type="spellEnd"/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153E10" w:rsidRPr="00424FA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до 19. маја 2023. године.</w:t>
      </w:r>
    </w:p>
    <w:p w14:paraId="4109E7EB" w14:textId="60DC835D" w:rsidR="004A26C6" w:rsidRPr="00153E10" w:rsidRDefault="004A26C6" w:rsidP="00153E1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Пријавни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формулар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достављају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српском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језику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искључиво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електронској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ПДФ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формату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на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електронску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адресу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Центра</w:t>
      </w:r>
      <w:proofErr w:type="spellEnd"/>
      <w:r w:rsidRPr="00153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7" w:history="1">
        <w:r w:rsidR="00153E10" w:rsidRPr="00153E1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konkurs2023@fcs.rs</w:t>
        </w:r>
      </w:hyperlink>
      <w:r w:rsidR="00153E10" w:rsidRPr="00153E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обавезном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назнаком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назива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пројекта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назива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конкурса</w:t>
      </w:r>
      <w:proofErr w:type="spellEnd"/>
      <w:r w:rsidR="00153E10" w:rsidRPr="001714C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који</w:t>
      </w:r>
      <w:proofErr w:type="spellEnd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пројекат</w:t>
      </w:r>
      <w:proofErr w:type="spellEnd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пријављује</w:t>
      </w:r>
      <w:proofErr w:type="spellEnd"/>
      <w:r w:rsidR="00424FA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3412E9A1" w14:textId="2F57C5DD" w:rsidR="004A26C6" w:rsidRPr="00153E10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Формулар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конкурсне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пријаве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и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пратећа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документација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доступни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су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на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интернет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страници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Филмског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центра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Србије</w:t>
      </w:r>
      <w:proofErr w:type="spellEnd"/>
      <w:r w:rsidRPr="00153E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153E10" w:rsidRPr="00153E10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hyperlink r:id="rId8" w:history="1">
        <w:r w:rsidR="00153E10" w:rsidRPr="00153E10">
          <w:rPr>
            <w:rFonts w:ascii="Times New Roman" w:hAnsi="Times New Roman" w:cs="Times New Roman"/>
            <w:b/>
            <w:sz w:val="24"/>
            <w:szCs w:val="24"/>
          </w:rPr>
          <w:t>www.fcs.rs</w:t>
        </w:r>
      </w:hyperlink>
      <w:r w:rsidR="00153E10" w:rsidRPr="00153E10">
        <w:rPr>
          <w:rFonts w:ascii="Times New Roman" w:hAnsi="Times New Roman" w:cs="Times New Roman"/>
          <w:b/>
          <w:color w:val="333333"/>
          <w:sz w:val="24"/>
          <w:szCs w:val="24"/>
        </w:rPr>
        <w:t>).</w:t>
      </w:r>
    </w:p>
    <w:p w14:paraId="5499955C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Неблаговремене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непотпуне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поднете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овлашћених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поднете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прописаном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формулару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разматрати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303DC64" w14:textId="77777777" w:rsidR="004A26C6" w:rsidRPr="00424FA7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КРИТЕРИЈУМИ ЗА ОДЛУЧИВАЊЕ</w:t>
      </w:r>
    </w:p>
    <w:p w14:paraId="662AA65E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приликом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проверавати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анализирати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оцењивати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следеће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D3D4D47" w14:textId="4CD942D2" w:rsidR="004A26C6" w:rsidRPr="00E4494B" w:rsidRDefault="00424FA7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постојеће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материјално-техничке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образложене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хтеву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преддигитализацију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2.</w:t>
      </w:r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план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унапређење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материјално-техничких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3.</w:t>
      </w:r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степен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реализовања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активности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наведених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конкурсној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документацији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4.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постигнуте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резултате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фази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преддигитализације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="004A26C6"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03CA4A34" w14:textId="45E55485" w:rsidR="004A26C6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Предност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приликом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имају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већ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обезбедили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део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материјално-техничких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дигитализацију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извора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подршка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потребно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доставити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УГОВОР о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додељеним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локалне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самоуправе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неке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институције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подршку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биоскопа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пројектно-техничке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градјевинско-ентеријерски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сл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.).</w:t>
      </w:r>
    </w:p>
    <w:p w14:paraId="09E8512E" w14:textId="77777777" w:rsidR="00424FA7" w:rsidRPr="00E4494B" w:rsidRDefault="00424FA7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8D6338" w14:textId="77777777" w:rsidR="004A26C6" w:rsidRPr="00424FA7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ДОНОШЕЊЕ ОДЛУКЕ</w:t>
      </w:r>
    </w:p>
    <w:p w14:paraId="052402E9" w14:textId="3BE1C65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комисија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року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затварања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доноси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избору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расписаном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јавном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конкурсу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4F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 основу кога ће бити </w:t>
      </w:r>
      <w:proofErr w:type="spellStart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донета</w:t>
      </w:r>
      <w:proofErr w:type="spellEnd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одлука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избору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додели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финансирање</w:t>
      </w:r>
      <w:proofErr w:type="spellEnd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изабраних</w:t>
      </w:r>
      <w:proofErr w:type="spellEnd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1905486" w14:textId="0B3CF3C6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изабраним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подносиоцима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4F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биће закључени </w:t>
      </w:r>
      <w:proofErr w:type="spellStart"/>
      <w:r w:rsid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уговори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суфинансирању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9078C23" w14:textId="479922D3" w:rsidR="004A26C6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4F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ОСТАЛЕ ИНФОРМАЦИЈЕ</w:t>
      </w:r>
    </w:p>
    <w:p w14:paraId="58D9DCE8" w14:textId="6F2A543E" w:rsidR="00424FA7" w:rsidRPr="00424FA7" w:rsidRDefault="00424FA7" w:rsidP="00424FA7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CE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E3C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складу са Правилником о изменама и допунама Правилника о плану подрачуна консолидованог рачуна трезора („Сл. гласник РС</w:t>
      </w:r>
      <w:r w:rsidRPr="001E3CE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1E3C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број 143/22), подносилац захтева </w:t>
      </w:r>
      <w:r w:rsidRPr="001E3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1E3C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дужан да у надлежној филијали Управе за трезор отвори посебан наменски подрачун </w:t>
      </w:r>
      <w:r w:rsidRPr="001E3CE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јавна средства која добије из буџета. За све ближе информације подносилац захтева треба да се обрати надлежној филијали Управе за трезор.</w:t>
      </w:r>
    </w:p>
    <w:p w14:paraId="2197E1C0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садржана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примењивати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приликом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спровођења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сва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изричито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регулисана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одредбама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примењиваће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одредбе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кинематографији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општем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управном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поступку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ABC3DB8" w14:textId="77777777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Подношењем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пријаве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учесници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потврђују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упознати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прихватају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овде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расписаног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29893D0" w14:textId="4A481592" w:rsidR="004A26C6" w:rsidRPr="00E4494B" w:rsidRDefault="004A26C6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враћа</w:t>
      </w:r>
      <w:proofErr w:type="spellEnd"/>
      <w:r w:rsidRPr="00E449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C0B826B" w14:textId="77777777" w:rsidR="00424FA7" w:rsidRPr="00921DC9" w:rsidRDefault="004A26C6" w:rsidP="00424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додатне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информације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објашњења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значаја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спровођење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поступка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могу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добити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путем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телефона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број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011 2625-131,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путем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електронске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поште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24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424FA7" w:rsidRPr="00DD0C8B">
        <w:rPr>
          <w:rFonts w:ascii="Times New Roman" w:hAnsi="Times New Roman" w:cs="Times New Roman"/>
          <w:b/>
          <w:bCs/>
          <w:sz w:val="24"/>
          <w:szCs w:val="24"/>
        </w:rPr>
        <w:t>konkurs2023@fcs.rs</w:t>
      </w:r>
      <w:r w:rsidR="00424FA7" w:rsidRPr="00921DC9">
        <w:rPr>
          <w:rFonts w:cs="Arial"/>
          <w:sz w:val="24"/>
          <w:szCs w:val="24"/>
        </w:rPr>
        <w:t> </w:t>
      </w:r>
    </w:p>
    <w:p w14:paraId="326B4F7B" w14:textId="2266ED2C" w:rsidR="004A26C6" w:rsidRPr="00E4494B" w:rsidRDefault="004A26C6" w:rsidP="00E449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57F50" w14:textId="59D4EF03" w:rsidR="003518F3" w:rsidRPr="00E4494B" w:rsidRDefault="003518F3" w:rsidP="00E4494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3518F3" w:rsidRPr="00E4494B" w:rsidSect="00677DF4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21"/>
    <w:multiLevelType w:val="hybridMultilevel"/>
    <w:tmpl w:val="DA207DF8"/>
    <w:lvl w:ilvl="0" w:tplc="F590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2D08"/>
    <w:multiLevelType w:val="hybridMultilevel"/>
    <w:tmpl w:val="3278AD6A"/>
    <w:lvl w:ilvl="0" w:tplc="93DC0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97121"/>
    <w:multiLevelType w:val="hybridMultilevel"/>
    <w:tmpl w:val="3EACA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5675">
    <w:abstractNumId w:val="1"/>
  </w:num>
  <w:num w:numId="2" w16cid:durableId="1432236379">
    <w:abstractNumId w:val="0"/>
  </w:num>
  <w:num w:numId="3" w16cid:durableId="849492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50"/>
    <w:rsid w:val="000A166A"/>
    <w:rsid w:val="00151EB6"/>
    <w:rsid w:val="00153E10"/>
    <w:rsid w:val="00155B20"/>
    <w:rsid w:val="00221F0C"/>
    <w:rsid w:val="002A42F7"/>
    <w:rsid w:val="003518F3"/>
    <w:rsid w:val="00424FA7"/>
    <w:rsid w:val="004261A7"/>
    <w:rsid w:val="004347C9"/>
    <w:rsid w:val="004A26C6"/>
    <w:rsid w:val="00677DF4"/>
    <w:rsid w:val="006F3B50"/>
    <w:rsid w:val="00745309"/>
    <w:rsid w:val="00907247"/>
    <w:rsid w:val="00BA31A5"/>
    <w:rsid w:val="00E4494B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F3D3"/>
  <w15:chartTrackingRefBased/>
  <w15:docId w15:val="{6D9219BD-4704-4252-89E0-67D1E09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49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2023@fc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BEFD-2735-4547-9EAB-3AB4473F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Vidović</dc:creator>
  <cp:keywords/>
  <dc:description/>
  <cp:lastModifiedBy>Svetlana Jovovic</cp:lastModifiedBy>
  <cp:revision>8</cp:revision>
  <dcterms:created xsi:type="dcterms:W3CDTF">2023-03-02T10:33:00Z</dcterms:created>
  <dcterms:modified xsi:type="dcterms:W3CDTF">2023-04-07T14:02:00Z</dcterms:modified>
</cp:coreProperties>
</file>