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C8518" w14:textId="39DB7B6E" w:rsidR="00814451" w:rsidRDefault="00733B90" w:rsidP="008144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7696D">
        <w:rPr>
          <w:rFonts w:eastAsia="Times New Roman" w:cstheme="minorHAnsi"/>
          <w:color w:val="333333"/>
          <w:sz w:val="24"/>
          <w:szCs w:val="24"/>
          <w:lang w:eastAsia="en-GB"/>
        </w:rPr>
        <w:br/>
      </w:r>
      <w:r w:rsidRPr="00C7696D">
        <w:rPr>
          <w:rFonts w:eastAsia="Times New Roman" w:cstheme="minorHAnsi"/>
          <w:color w:val="333333"/>
          <w:sz w:val="24"/>
          <w:szCs w:val="24"/>
          <w:lang w:eastAsia="en-GB"/>
        </w:rPr>
        <w:br/>
      </w:r>
      <w:proofErr w:type="spellStart"/>
      <w:r w:rsidR="00814451" w:rsidRPr="00406D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14451" w:rsidRPr="00406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51" w:rsidRPr="00406DCC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814451" w:rsidRPr="00406D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4451" w:rsidRPr="00406DCC">
        <w:rPr>
          <w:rFonts w:ascii="Times New Roman" w:hAnsi="Times New Roman" w:cs="Times New Roman"/>
          <w:sz w:val="24"/>
          <w:szCs w:val="24"/>
        </w:rPr>
        <w:t>чл</w:t>
      </w:r>
      <w:r w:rsidR="00814451" w:rsidRPr="00406DCC">
        <w:rPr>
          <w:rFonts w:ascii="Times New Roman" w:hAnsi="Times New Roman" w:cs="Times New Roman"/>
          <w:sz w:val="24"/>
          <w:szCs w:val="24"/>
          <w:lang w:val="sr-Cyrl-RS"/>
        </w:rPr>
        <w:t>ана</w:t>
      </w:r>
      <w:proofErr w:type="spellEnd"/>
      <w:r w:rsidR="00814451" w:rsidRPr="00406DC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4451" w:rsidRPr="00406DCC">
        <w:rPr>
          <w:rFonts w:ascii="Times New Roman" w:hAnsi="Times New Roman" w:cs="Times New Roman"/>
          <w:sz w:val="24"/>
          <w:szCs w:val="24"/>
          <w:lang w:val="sr-Cyrl-CS"/>
        </w:rPr>
        <w:t xml:space="preserve">23. став 2. и члана 56. Закона о државној управи </w:t>
      </w:r>
      <w:r w:rsidR="00814451" w:rsidRPr="00406DCC">
        <w:rPr>
          <w:rFonts w:ascii="Times New Roman" w:hAnsi="Times New Roman" w:cs="Times New Roman"/>
          <w:sz w:val="24"/>
          <w:szCs w:val="24"/>
          <w:lang w:val="ru-RU"/>
        </w:rPr>
        <w:t>(„Службени гласник РС” бр.</w:t>
      </w:r>
      <w:r w:rsidR="00814451" w:rsidRPr="00406DCC">
        <w:rPr>
          <w:rFonts w:ascii="Times New Roman" w:hAnsi="Times New Roman" w:cs="Times New Roman"/>
          <w:sz w:val="24"/>
          <w:szCs w:val="24"/>
        </w:rPr>
        <w:t xml:space="preserve"> 79/05, 101/07, 95/10, </w:t>
      </w:r>
      <w:r w:rsidR="00814451" w:rsidRPr="00406DCC">
        <w:rPr>
          <w:rFonts w:ascii="Times New Roman" w:hAnsi="Times New Roman" w:cs="Times New Roman"/>
          <w:sz w:val="24"/>
          <w:szCs w:val="24"/>
          <w:lang w:val="sr-Cyrl-RS"/>
        </w:rPr>
        <w:t xml:space="preserve">99/14, </w:t>
      </w:r>
      <w:r w:rsidR="00814451" w:rsidRPr="00406DCC">
        <w:rPr>
          <w:rFonts w:ascii="Times New Roman" w:hAnsi="Times New Roman" w:cs="Times New Roman"/>
          <w:sz w:val="24"/>
          <w:szCs w:val="24"/>
        </w:rPr>
        <w:t>30/18 и 47/18</w:t>
      </w:r>
      <w:r w:rsidR="00814451" w:rsidRPr="00406DCC">
        <w:rPr>
          <w:rFonts w:ascii="Times New Roman" w:hAnsi="Times New Roman" w:cs="Times New Roman"/>
          <w:sz w:val="24"/>
          <w:szCs w:val="24"/>
          <w:lang w:val="sr-Cyrl-CS"/>
        </w:rPr>
        <w:t xml:space="preserve">), а у вези са чланом 18. став 6. Закона о кинематографији („Службени гласник РС“, бр.99/11, 2/12 – </w:t>
      </w:r>
      <w:proofErr w:type="spellStart"/>
      <w:r w:rsidR="00814451" w:rsidRPr="00406DCC">
        <w:rPr>
          <w:rFonts w:ascii="Times New Roman" w:hAnsi="Times New Roman" w:cs="Times New Roman"/>
          <w:sz w:val="24"/>
          <w:szCs w:val="24"/>
          <w:lang w:val="sr-Cyrl-CS"/>
        </w:rPr>
        <w:t>испр</w:t>
      </w:r>
      <w:proofErr w:type="spellEnd"/>
      <w:r w:rsidR="00814451" w:rsidRPr="00406DCC">
        <w:rPr>
          <w:rFonts w:ascii="Times New Roman" w:hAnsi="Times New Roman" w:cs="Times New Roman"/>
          <w:sz w:val="24"/>
          <w:szCs w:val="24"/>
          <w:lang w:val="sr-Cyrl-CS"/>
        </w:rPr>
        <w:t xml:space="preserve">. и 46/14-Одлука УС), Уредбе о критеријумима, мерилима и начину избора пројеката у култури који се финансирају и </w:t>
      </w:r>
      <w:proofErr w:type="spellStart"/>
      <w:r w:rsidR="00814451" w:rsidRPr="00406DCC">
        <w:rPr>
          <w:rFonts w:ascii="Times New Roman" w:hAnsi="Times New Roman" w:cs="Times New Roman"/>
          <w:sz w:val="24"/>
          <w:szCs w:val="24"/>
          <w:lang w:val="sr-Cyrl-CS"/>
        </w:rPr>
        <w:t>суфинансирају</w:t>
      </w:r>
      <w:proofErr w:type="spellEnd"/>
      <w:r w:rsidR="00814451" w:rsidRPr="00406DCC">
        <w:rPr>
          <w:rFonts w:ascii="Times New Roman" w:hAnsi="Times New Roman" w:cs="Times New Roman"/>
          <w:sz w:val="24"/>
          <w:szCs w:val="24"/>
          <w:lang w:val="sr-Cyrl-CS"/>
        </w:rPr>
        <w:t xml:space="preserve"> из буџета Републике Србије, аутономне покрајине, односно јединица локалне самоуправе („Службени гласник РС“, бр. 105/2016 и 112/2017)</w:t>
      </w:r>
      <w:r w:rsidR="00814451" w:rsidRPr="00406DCC">
        <w:rPr>
          <w:rFonts w:ascii="Times New Roman" w:hAnsi="Times New Roman" w:cs="Times New Roman"/>
          <w:sz w:val="24"/>
          <w:szCs w:val="24"/>
        </w:rPr>
        <w:t xml:space="preserve"> </w:t>
      </w:r>
      <w:r w:rsidR="00814451" w:rsidRPr="00406DCC">
        <w:rPr>
          <w:rFonts w:ascii="Times New Roman" w:hAnsi="Times New Roman" w:cs="Times New Roman"/>
          <w:sz w:val="24"/>
          <w:szCs w:val="24"/>
          <w:lang w:val="sr-Cyrl-RS"/>
        </w:rPr>
        <w:t>и Одлуке Министарства културе број: 642-01-15/2023-05 од 3. априла 2023. године</w:t>
      </w:r>
    </w:p>
    <w:p w14:paraId="070AA0DF" w14:textId="77777777" w:rsidR="00814451" w:rsidRPr="00406DCC" w:rsidRDefault="00814451" w:rsidP="00814451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highlight w:val="yellow"/>
        </w:rPr>
      </w:pPr>
    </w:p>
    <w:p w14:paraId="3DCA3280" w14:textId="77777777" w:rsidR="00814451" w:rsidRDefault="00814451" w:rsidP="00814451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D87C9B3" wp14:editId="2D5199BE">
            <wp:extent cx="4572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110027C7" w14:textId="77777777" w:rsidR="00814451" w:rsidRPr="008E3EBD" w:rsidRDefault="00814451" w:rsidP="0081445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E3EBD">
        <w:rPr>
          <w:rFonts w:ascii="Times New Roman" w:hAnsi="Times New Roman" w:cs="Times New Roman"/>
          <w:b/>
          <w:sz w:val="24"/>
          <w:szCs w:val="24"/>
          <w:lang w:val="sr-Cyrl-CS"/>
        </w:rPr>
        <w:t>РЕПУБЛИКА СРБИЈА</w:t>
      </w:r>
    </w:p>
    <w:p w14:paraId="4E02B783" w14:textId="77777777" w:rsidR="00814451" w:rsidRPr="008E3EBD" w:rsidRDefault="00814451" w:rsidP="00814451">
      <w:pPr>
        <w:pStyle w:val="NoSpacing"/>
        <w:jc w:val="center"/>
        <w:rPr>
          <w:rFonts w:ascii="Times New Roman" w:hAnsi="Times New Roman" w:cs="Times New Roman"/>
          <w:b/>
          <w:kern w:val="24"/>
          <w:sz w:val="24"/>
          <w:szCs w:val="24"/>
          <w:lang w:val="sr-Cyrl-CS"/>
        </w:rPr>
      </w:pPr>
      <w:r w:rsidRPr="008E3EBD">
        <w:rPr>
          <w:rFonts w:ascii="Times New Roman" w:hAnsi="Times New Roman" w:cs="Times New Roman"/>
          <w:b/>
          <w:kern w:val="24"/>
          <w:sz w:val="24"/>
          <w:szCs w:val="24"/>
          <w:lang w:val="sr-Cyrl-CS"/>
        </w:rPr>
        <w:t>МИНИСТАРСТВО КУЛТУРЕ</w:t>
      </w:r>
    </w:p>
    <w:p w14:paraId="5946FB99" w14:textId="77777777" w:rsidR="00814451" w:rsidRDefault="00814451" w:rsidP="00814451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расписуjе</w:t>
      </w:r>
      <w:proofErr w:type="spellEnd"/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К О Н К У Р С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1157A45" w14:textId="2307F220" w:rsidR="0031634F" w:rsidRPr="00814451" w:rsidRDefault="00814451" w:rsidP="00814451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финансирање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суфинансирање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пројеката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кинематографији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2023.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годину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категорији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:</w:t>
      </w:r>
      <w:proofErr w:type="spellStart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Суфинансирање</w:t>
      </w:r>
      <w:proofErr w:type="spellEnd"/>
      <w:proofErr w:type="gramEnd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производње</w:t>
      </w:r>
      <w:proofErr w:type="spellEnd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домаћих</w:t>
      </w:r>
      <w:proofErr w:type="spellEnd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краткометражних</w:t>
      </w:r>
      <w:proofErr w:type="spellEnd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анимираних</w:t>
      </w:r>
      <w:proofErr w:type="spellEnd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="0031634F"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филмова</w:t>
      </w:r>
      <w:proofErr w:type="spellEnd"/>
    </w:p>
    <w:p w14:paraId="798E1530" w14:textId="77777777" w:rsidR="00814451" w:rsidRDefault="00814451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30004EFB" w14:textId="02E07FA9" w:rsidR="0031634F" w:rsidRPr="00F64DA9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</w:pPr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ОПШТЕ ОДРЕДБЕ</w:t>
      </w:r>
    </w:p>
    <w:p w14:paraId="155C024E" w14:textId="36B39EDD" w:rsidR="0031634F" w:rsidRPr="00F64DA9" w:rsidRDefault="0031634F" w:rsidP="0089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Овим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конкурсом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суфинансирају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пројекти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у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кинематографији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2023.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годину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у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категорији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: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Суфинансирање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производње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домаћих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краткометражних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анимираних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филмова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,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који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бирају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основу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критеријума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из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овог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конкурса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чиме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директно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средства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конкурса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усмеравају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стварање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промовисање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производа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од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културног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proofErr w:type="spellStart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значаја</w:t>
      </w:r>
      <w:proofErr w:type="spellEnd"/>
      <w:r w:rsidRPr="00F64DA9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.</w:t>
      </w:r>
    </w:p>
    <w:p w14:paraId="23E24DF1" w14:textId="77777777" w:rsidR="00893193" w:rsidRPr="00893193" w:rsidRDefault="00893193" w:rsidP="00893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5D129C4" w14:textId="3BD4DF3B" w:rsidR="0031634F" w:rsidRDefault="0031634F" w:rsidP="0017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имају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предузетници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носиоци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имовинских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proofErr w:type="spellStart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краткометражним</w:t>
      </w:r>
      <w:proofErr w:type="spellEnd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анимираним</w:t>
      </w:r>
      <w:proofErr w:type="spellEnd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филмовима</w:t>
      </w:r>
      <w:proofErr w:type="spellEnd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(у </w:t>
      </w:r>
      <w:proofErr w:type="spellStart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трајању</w:t>
      </w:r>
      <w:proofErr w:type="spellEnd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до</w:t>
      </w:r>
      <w:proofErr w:type="spellEnd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 30 </w:t>
      </w:r>
      <w:proofErr w:type="spellStart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минута</w:t>
      </w:r>
      <w:proofErr w:type="spellEnd"/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)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а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испуњавају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следеће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услове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084BB9D" w14:textId="77777777" w:rsidR="00893193" w:rsidRPr="001714C6" w:rsidRDefault="00893193" w:rsidP="001714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443C019B" w14:textId="206E05AA" w:rsidR="0031634F" w:rsidRPr="00893193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уписани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одговарајући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регистар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Агенције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привредне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регистре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даљем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тексту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 „</w:t>
      </w:r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АПР“</w:t>
      </w:r>
      <w:proofErr w:type="gram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води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територију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Републике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регистрованом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претежном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делатношћу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производње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аудио-визуелних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производа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телевизијског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програма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дистрибуције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делатности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аудио-визуелних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телевизијског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програма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приказивања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даљем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тексту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 „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“),</w:t>
      </w:r>
    </w:p>
    <w:p w14:paraId="4D167EBF" w14:textId="06277E1C" w:rsidR="0031634F" w:rsidRPr="00814451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да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им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пословни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рачуни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блокирани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периоду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подношења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доношења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одлуке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избору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добитника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309490A" w14:textId="79D8B3B2" w:rsidR="0031634F" w:rsidRPr="00893193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немају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неплаћене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пореза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давања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подношења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4643F4CD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доказ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испуњења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услова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наведених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ставу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приликом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заинтересовани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мора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доставити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3813332A" w14:textId="5EDF4893" w:rsidR="0031634F" w:rsidRPr="00893193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извод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интернет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Агенције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привредне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регистре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</w:p>
    <w:p w14:paraId="539EB22A" w14:textId="3BB7E2EE" w:rsidR="0031634F" w:rsidRPr="00893193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извод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интернет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Народне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банке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види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блокади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0A25E248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6A66A2A5" w14:textId="341DB10B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добитник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ранијим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року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испунио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вези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уговором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закљученим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односно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настале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последица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раскида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уговора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закљученог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</w:t>
      </w:r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/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учесницима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реализацији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подржаних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измири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89E0145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E7A8082" w14:textId="67B81D4C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изречена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мера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="00814451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 у области кинематографије</w:t>
      </w:r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истека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периода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изречена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98B73DF" w14:textId="77777777" w:rsidR="00B81000" w:rsidRPr="00F64DA9" w:rsidRDefault="00B81000" w:rsidP="00F64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3CA102FF" w14:textId="669596A1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оснивач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директор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управног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/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надзорног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одбора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органа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заступник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прокуриста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3C09DF2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988AFF1" w14:textId="63504E0D" w:rsidR="00B81000" w:rsidRDefault="0031634F" w:rsidP="00814451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ангажован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ACF2A5B" w14:textId="5CE8733E" w:rsidR="00814451" w:rsidRPr="00814451" w:rsidRDefault="00814451" w:rsidP="008144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08B3F334" w14:textId="0A29EC5A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аплицирају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приказани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затварања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55CEA60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A85B93A" w14:textId="589828C2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аплицирају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наменским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нарученим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наставним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намењеним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маркетингу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реклами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филмовима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порнографским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отворено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вређа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људско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достојанство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заговара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подстиче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дискриминација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мржња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насиље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против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групе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због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њиховог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припадања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неприпадања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некој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раси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вери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нацији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етничкој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групи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полу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сексуалној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опредељености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неком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личном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својству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60608A0B" w14:textId="77777777" w:rsidR="00B81000" w:rsidRPr="00F64DA9" w:rsidRDefault="00B81000" w:rsidP="00F64DA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71FCDC5" w14:textId="5C99F926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налази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поступку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повраћаја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мале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вредности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r w:rsid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de minimis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);</w:t>
      </w:r>
      <w:proofErr w:type="gramEnd"/>
    </w:p>
    <w:p w14:paraId="19F808AA" w14:textId="77777777" w:rsidR="00814451" w:rsidRPr="00893193" w:rsidRDefault="00814451" w:rsidP="00814451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A25E765" w14:textId="294BAF9A" w:rsidR="0031634F" w:rsidRPr="00893193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било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тешкоћама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смислу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прописа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правилима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доделу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3B2AC5AA" w14:textId="77777777" w:rsidR="0031634F" w:rsidRPr="001714C6" w:rsidRDefault="0031634F" w:rsidP="001714C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2EDD888" w14:textId="5950F3FB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1, </w:t>
      </w:r>
      <w:r w:rsidR="00814451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алинеја 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1) и 3)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подразумева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2998C814" w14:textId="0BFD256F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поседује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значајно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капиталу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такво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стекне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конвертибилних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обвезница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вараната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опција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слично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991D69D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654065AE" w14:textId="3AE2FCDB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контролни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друштва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контролисано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друштво</w:t>
      </w:r>
      <w:proofErr w:type="spellEnd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);</w:t>
      </w:r>
      <w:proofErr w:type="gramEnd"/>
    </w:p>
    <w:p w14:paraId="310B43C3" w14:textId="1A058A61" w:rsidR="00B81000" w:rsidRPr="00D62013" w:rsidRDefault="00B81000" w:rsidP="00D620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289A9D0" w14:textId="400EA716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заједно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контролом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трећег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D2CC84B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6447618" w14:textId="50D53AFE" w:rsidR="0031634F" w:rsidRPr="00893193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физичко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предузетник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власник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већински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изречена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мера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2B732EFE" w14:textId="254066E4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повезаним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лицем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1, </w:t>
      </w:r>
      <w:r w:rsidR="00814451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алинеја 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4) и 5)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одељка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подразумева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CDE898E" w14:textId="0A0C9BCC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крвни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правој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линији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крвни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побочној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линији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степеном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сродства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20C19D94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00501123" w14:textId="3EC700A5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супружник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ванбрачни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партнер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њихови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крвни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сродници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закључно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првим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степеном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сродства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4171EADD" w14:textId="77777777" w:rsidR="00B81000" w:rsidRPr="00B81000" w:rsidRDefault="00B81000" w:rsidP="00B81000">
      <w:pPr>
        <w:pStyle w:val="ListParagrap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73709786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AAE2BA2" w14:textId="24D6CAF8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усвојилац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усвојеник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као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потомци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усвојеника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5F355718" w14:textId="77777777" w:rsidR="00B81000" w:rsidRPr="00893193" w:rsidRDefault="00B81000" w:rsidP="00B81000">
      <w:pPr>
        <w:pStyle w:val="ListParagraph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11C9EF91" w14:textId="32CD8973" w:rsidR="0031634F" w:rsidRDefault="0031634F" w:rsidP="00893193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друга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живе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заједничком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домаћинству</w:t>
      </w:r>
      <w:proofErr w:type="spellEnd"/>
      <w:r w:rsidRPr="0089319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21EDC91" w14:textId="4A67FA50" w:rsidR="00F56D20" w:rsidRPr="00F56D20" w:rsidRDefault="00F56D20" w:rsidP="00F56D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0AF85071" w14:textId="0887EC93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неверодостојним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нетачним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подацима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одбачене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а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њихови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подносиоци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санкционисани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забраном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814451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у области кинематографије 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трајању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пет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година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7332AC74" w14:textId="77777777" w:rsidR="0031634F" w:rsidRPr="00814451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814451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КОНКУРСНА ДОКУМЕНТАЦИЈА</w:t>
      </w:r>
    </w:p>
    <w:p w14:paraId="7A0EE130" w14:textId="1D10F535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Учесници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дужни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следећу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документацију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синопсис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сценослед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завршну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верзију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r w:rsidR="00814451"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storyboard</w:t>
      </w:r>
      <w:r w:rsidR="00814451"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случају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експерименталне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апстрактне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анимације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уместо</w:t>
      </w:r>
      <w:proofErr w:type="spellEnd"/>
      <w:r w:rsidR="00814451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sr-Cyrl-RS" w:eastAsia="en-GB"/>
        </w:rPr>
        <w:t xml:space="preserve"> </w:t>
      </w:r>
      <w:r w:rsidR="00814451" w:rsidRPr="00814451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storyboard</w:t>
      </w:r>
      <w:r w:rsidRPr="00921DC9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приложити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што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детаљнији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опис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експерименталне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методе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анимације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изабрана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30-60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секунди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првих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корака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експе</w:t>
      </w:r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римената</w:t>
      </w:r>
      <w:proofErr w:type="spellEnd"/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предложеног</w:t>
      </w:r>
      <w:proofErr w:type="spellEnd"/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експликацију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технолошку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експликацију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визуелни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предложак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концепт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арт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најмање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 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приказа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финалног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изгледа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разрада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карактера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простора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</w:t>
      </w:r>
      <w:proofErr w:type="spellEnd"/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>.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досадашње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радове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уколико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постоје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активним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линковима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биографију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редитеља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сценаристе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профил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продуцентске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биографију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продуцентску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експликацију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листу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писаним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сваког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наведен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листи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производњи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листу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техничке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уколико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 xml:space="preserve">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овој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фази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писаним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сваког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члана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екипе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наведен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листи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учествовати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производњи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финансијски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очекивани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прилив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детаљан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предрачун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временски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реализације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доказ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регулисаним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ауторским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оверену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конкурише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кинематографско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дело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;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изјаву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добијеним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средствима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додељеној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државној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додељеној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B8100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de minimis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основама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текућој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фискалне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године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),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налази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поступку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повраћаја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B8100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de minimis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привредни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субјект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тешкоћама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смислу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прописа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правилима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доделу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државне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помоћи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27E1E2CE" w14:textId="77777777" w:rsidR="0031634F" w:rsidRPr="00DD0C8B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КРИТЕРИЈУМИ ЗА ИЗБОР ПРОЈЕКАТА</w:t>
      </w:r>
    </w:p>
    <w:p w14:paraId="1FC6AFC3" w14:textId="7D3B71DC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биће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донета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складу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критеријумима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суфинансирају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Републике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утврђеним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Законом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(„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гласник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РС“</w:t>
      </w:r>
      <w:proofErr w:type="gram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бр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99/2011, 2/2012 –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испр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и 46/2014 –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УС)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Уредбом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критеријумима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мерилима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начину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суфинасирају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Републике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аутономне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покрајине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односно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јединице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локалне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самоуправе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(„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гласник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РС“</w:t>
      </w:r>
      <w:proofErr w:type="gramEnd"/>
      <w:r w:rsidR="00921DC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="00921DC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бр</w:t>
      </w:r>
      <w:proofErr w:type="spellEnd"/>
      <w:r w:rsidR="00921DC9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 105/2016 и</w:t>
      </w: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112/2017),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245184CA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оригиналност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аутентичност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идеје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теме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665FEEA8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2)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иновативност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убедљивост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допринос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развоју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језика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953827E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3)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наративна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структура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карактеризација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ликова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уверљивост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дијалога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63C1DEFB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4)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оцена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доприноса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значају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F9440C4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5)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допринос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сценарија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представљању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духа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времена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1585632A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6)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очекивана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привлачност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домаћи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међународни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простор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393A126F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7)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успешност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редитеља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(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гледаност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фестивалима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награде</w:t>
      </w:r>
      <w:proofErr w:type="spellEnd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);</w:t>
      </w:r>
      <w:proofErr w:type="gramEnd"/>
    </w:p>
    <w:p w14:paraId="03E1ED71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8)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изводљивост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буџет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сложеност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снимања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термини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снимања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D5EB59C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9)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учешће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0569E5EF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10)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усклађеност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општим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интересом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циљевима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приоритетима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4AA6C782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 xml:space="preserve">11)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квалитет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садржајна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иновативност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B409D37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12)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капацитети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потребни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реализацију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</w:t>
      </w:r>
    </w:p>
    <w:p w14:paraId="78DC42C2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(а)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стручни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односно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уметнички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капацитети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</w:t>
      </w:r>
    </w:p>
    <w:p w14:paraId="34FA0F61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(б)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неопходни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ресурси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782CBC4D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13)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финансијски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–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разрађеност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усклађеност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планом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активности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економичност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укљученост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више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извора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финансирања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;</w:t>
      </w:r>
      <w:proofErr w:type="gramEnd"/>
    </w:p>
    <w:p w14:paraId="6740BB6C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14)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степен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утицаја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квалитет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културног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живота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заједнице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39631C57" w14:textId="77777777" w:rsidR="0031634F" w:rsidRPr="00DD0C8B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ТРАЈАЊЕ ЈАВНОГ КОНКУРСА</w:t>
      </w:r>
    </w:p>
    <w:p w14:paraId="2A4303FB" w14:textId="0B722E2A" w:rsidR="0031634F" w:rsidRPr="00DD0C8B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RS" w:eastAsia="en-GB"/>
        </w:rPr>
      </w:pP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Конкурс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је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отворен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месец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дана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од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дана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јавног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објављивања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gram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у ”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Вечерњим</w:t>
      </w:r>
      <w:proofErr w:type="spellEnd"/>
      <w:proofErr w:type="gram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новостима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”, </w:t>
      </w:r>
      <w:proofErr w:type="spellStart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односно</w:t>
      </w:r>
      <w:proofErr w:type="spellEnd"/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 xml:space="preserve"> </w:t>
      </w:r>
      <w:r w:rsidR="00DD0C8B"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sr-Cyrl-RS" w:eastAsia="en-GB"/>
        </w:rPr>
        <w:t>до 19. маја 2023. године.</w:t>
      </w:r>
    </w:p>
    <w:p w14:paraId="5EDB8E1C" w14:textId="60C0AC9E" w:rsidR="0031634F" w:rsidRPr="001714C6" w:rsidRDefault="0031634F" w:rsidP="00921DC9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Пријавни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формулар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документација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достављају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српском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језику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1714C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 xml:space="preserve">у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електронској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форми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у ПДФ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формату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за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сваки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документ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посебно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према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редоследу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наведеном</w:t>
      </w:r>
      <w:proofErr w:type="spellEnd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 xml:space="preserve"> у </w:t>
      </w:r>
      <w:proofErr w:type="spellStart"/>
      <w:r w:rsidRPr="00DD0C8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en-GB"/>
        </w:rPr>
        <w:t>пријави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електронску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адресу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Центра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 </w:t>
      </w:r>
      <w:r w:rsidR="00921DC9" w:rsidRPr="00DD0C8B">
        <w:rPr>
          <w:rFonts w:ascii="Times New Roman" w:hAnsi="Times New Roman" w:cs="Times New Roman"/>
          <w:b/>
          <w:bCs/>
          <w:sz w:val="24"/>
          <w:szCs w:val="24"/>
        </w:rPr>
        <w:t>konkurs2023</w:t>
      </w:r>
      <w:r w:rsidR="00921DC9" w:rsidRPr="00921DC9">
        <w:rPr>
          <w:rFonts w:ascii="Times New Roman" w:hAnsi="Times New Roman" w:cs="Times New Roman"/>
          <w:b/>
          <w:bCs/>
          <w:sz w:val="24"/>
          <w:szCs w:val="24"/>
        </w:rPr>
        <w:t>@fcs.rs</w:t>
      </w:r>
      <w:r w:rsidR="00921DC9"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назнаком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назива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назива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пријављује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у </w:t>
      </w:r>
      <w:r w:rsidR="00921DC9" w:rsidRPr="00921DC9">
        <w:rPr>
          <w:rFonts w:ascii="Times New Roman" w:hAnsi="Times New Roman" w:cs="Times New Roman"/>
          <w:color w:val="333333"/>
          <w:sz w:val="24"/>
          <w:szCs w:val="24"/>
        </w:rPr>
        <w:t>subject-u</w:t>
      </w:r>
      <w:r w:rsidR="00921DC9" w:rsidRPr="00921DC9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14:paraId="27E7A9CE" w14:textId="503C3E34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Формулар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прилози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саставни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део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документације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доступни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интернет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страници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Филмског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центра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Србије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921DC9" w:rsidRPr="00DD0C8B">
        <w:rPr>
          <w:rFonts w:ascii="Times New Roman" w:hAnsi="Times New Roman" w:cs="Times New Roman"/>
          <w:b/>
          <w:sz w:val="24"/>
          <w:szCs w:val="24"/>
          <w:lang w:val="sr-Cyrl-RS"/>
        </w:rPr>
        <w:t>(</w:t>
      </w:r>
      <w:hyperlink r:id="rId6" w:history="1">
        <w:r w:rsidR="00921DC9" w:rsidRPr="00DD0C8B">
          <w:rPr>
            <w:rFonts w:ascii="Times New Roman" w:hAnsi="Times New Roman" w:cs="Times New Roman"/>
            <w:b/>
            <w:sz w:val="24"/>
            <w:szCs w:val="24"/>
          </w:rPr>
          <w:t>www.fcs.rs</w:t>
        </w:r>
      </w:hyperlink>
      <w:r w:rsidR="00921DC9" w:rsidRPr="00DD0C8B">
        <w:rPr>
          <w:rFonts w:ascii="Times New Roman" w:hAnsi="Times New Roman" w:cs="Times New Roman"/>
          <w:b/>
          <w:color w:val="333333"/>
          <w:sz w:val="24"/>
          <w:szCs w:val="24"/>
        </w:rPr>
        <w:t>).</w:t>
      </w:r>
    </w:p>
    <w:p w14:paraId="7D6A114F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Неблаговремене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непотпуне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поднете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овлашћених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лица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поднете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прописаном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формулару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предмет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разматрати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6926FCDB" w14:textId="77777777" w:rsidR="0031634F" w:rsidRPr="00DD0C8B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t>ДОНОШЕЊЕ ОДЛУКЕ</w:t>
      </w:r>
    </w:p>
    <w:p w14:paraId="17BF52D3" w14:textId="74A16725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року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60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затварања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доноси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предлог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расписаном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јавном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>н</w:t>
      </w:r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а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кога ће бити </w:t>
      </w:r>
      <w:proofErr w:type="spellStart"/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донета</w:t>
      </w:r>
      <w:proofErr w:type="spellEnd"/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одлука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избору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додели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средстава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суфинансирање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изабраних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у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року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15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доношења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предлога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комисије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21D92665" w14:textId="6C5112E4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изабраним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подносиоцима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претходно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доставили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уверење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пореске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управе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измиреним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јавним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приходима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старије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10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потврђује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Продуцент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доспеле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а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неплаћене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обавезе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основу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пореза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</w:t>
      </w:r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val="sr-Cyrl-RS" w:eastAsia="en-GB"/>
        </w:rPr>
        <w:t xml:space="preserve">биће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</w:t>
      </w:r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акључени</w:t>
      </w:r>
      <w:proofErr w:type="spellEnd"/>
      <w:r w:rsidR="00F56D20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уговори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суфинансирању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пројеката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</w:p>
    <w:p w14:paraId="22A2BDF2" w14:textId="1A7EDA41" w:rsidR="0031634F" w:rsidRPr="00DD0C8B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</w:pPr>
      <w:r w:rsidRPr="00DD0C8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en-GB"/>
        </w:rPr>
        <w:lastRenderedPageBreak/>
        <w:t>ОСТАЛЕ ИНФОРМАЦИЈЕ</w:t>
      </w:r>
    </w:p>
    <w:p w14:paraId="328146EC" w14:textId="77777777" w:rsidR="001E3CE4" w:rsidRPr="001E3CE4" w:rsidRDefault="001E3CE4" w:rsidP="001E3CE4">
      <w:pPr>
        <w:shd w:val="clear" w:color="auto" w:fill="FFFFFF"/>
        <w:spacing w:after="45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E3CE4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Pr="001E3CE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 складу са Правилником о изменама и допунама Правилника о плану подрачуна консолидованог рачуна трезора („Сл. гласник РС</w:t>
      </w:r>
      <w:r w:rsidRPr="001E3CE4">
        <w:rPr>
          <w:rFonts w:ascii="Times New Roman" w:eastAsia="Times New Roman" w:hAnsi="Times New Roman" w:cs="Times New Roman"/>
          <w:sz w:val="24"/>
          <w:szCs w:val="24"/>
          <w:lang w:val="sr-Cyrl-RS"/>
        </w:rPr>
        <w:t>“</w:t>
      </w:r>
      <w:r w:rsidRPr="001E3CE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, број 143/22), подносилац захтева </w:t>
      </w:r>
      <w:r w:rsidRPr="001E3CE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r w:rsidRPr="001E3CE4">
        <w:rPr>
          <w:rFonts w:ascii="Times New Roman" w:eastAsia="Times New Roman" w:hAnsi="Times New Roman" w:cs="Times New Roman"/>
          <w:sz w:val="24"/>
          <w:szCs w:val="24"/>
          <w:lang w:val="uz-Cyrl-UZ"/>
        </w:rPr>
        <w:t xml:space="preserve">дужан да у надлежној филијали Управе за трезор отвори посебан наменски подрачун </w:t>
      </w:r>
      <w:r w:rsidRPr="001E3CE4">
        <w:rPr>
          <w:rFonts w:ascii="Times New Roman" w:eastAsia="Times New Roman" w:hAnsi="Times New Roman" w:cs="Times New Roman"/>
          <w:sz w:val="24"/>
          <w:szCs w:val="24"/>
          <w:lang w:val="sr-Cyrl-RS"/>
        </w:rPr>
        <w:t>за јавна средства која добије из буџета. За све ближе информације подносилац захтева треба да се обрати надлежној филијали Управе за трезор.</w:t>
      </w:r>
    </w:p>
    <w:p w14:paraId="585DAACE" w14:textId="74E739DB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У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тексту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садржана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правила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услови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примењивати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приликом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спровођења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питања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која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нису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изричито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регулисана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одредбама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примењиваће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одредбе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Закона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кинематографији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Закона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о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општем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управном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поступку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C6E7C07" w14:textId="77777777" w:rsidR="0031634F" w:rsidRPr="001714C6" w:rsidRDefault="0031634F" w:rsidP="001714C6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Подношењем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пријаве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учесници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потврђују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упознати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прихватају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овде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наведене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услове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расписаног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1714C6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5598CE31" w14:textId="6634CF59" w:rsidR="0031634F" w:rsidRPr="00921DC9" w:rsidRDefault="0031634F" w:rsidP="001714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Све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додатне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информације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и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објашњења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од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значаја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за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спровођење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поступка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конкурса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могу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се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добити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путем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телефона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број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: 011 2625-131,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или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путем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електронске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поште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  <w:proofErr w:type="spellStart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на</w:t>
      </w:r>
      <w:proofErr w:type="spellEnd"/>
      <w:r w:rsidRPr="00DD0C8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: </w:t>
      </w:r>
      <w:r w:rsidR="00921DC9" w:rsidRPr="00DD0C8B">
        <w:rPr>
          <w:rFonts w:ascii="Times New Roman" w:eastAsia="Times New Roman" w:hAnsi="Times New Roman" w:cs="Times New Roman"/>
          <w:color w:val="333333"/>
        </w:rPr>
        <w:t> </w:t>
      </w:r>
      <w:r w:rsidR="00921DC9" w:rsidRPr="00DD0C8B">
        <w:rPr>
          <w:rFonts w:ascii="Times New Roman" w:hAnsi="Times New Roman" w:cs="Times New Roman"/>
          <w:b/>
          <w:bCs/>
          <w:sz w:val="24"/>
          <w:szCs w:val="24"/>
        </w:rPr>
        <w:t>konkurs2023@fcs.rs</w:t>
      </w:r>
      <w:r w:rsidR="00921DC9" w:rsidRPr="00921DC9">
        <w:rPr>
          <w:rFonts w:cs="Arial"/>
          <w:sz w:val="24"/>
          <w:szCs w:val="24"/>
        </w:rPr>
        <w:t> </w:t>
      </w:r>
    </w:p>
    <w:p w14:paraId="1A9D8756" w14:textId="622B09BC" w:rsidR="00EC1C38" w:rsidRPr="001714C6" w:rsidRDefault="00EC1C38" w:rsidP="001714C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C1C38" w:rsidRPr="001714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0AD"/>
    <w:multiLevelType w:val="multilevel"/>
    <w:tmpl w:val="567C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50153"/>
    <w:multiLevelType w:val="hybridMultilevel"/>
    <w:tmpl w:val="5D3EA908"/>
    <w:lvl w:ilvl="0" w:tplc="47005E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12542"/>
    <w:multiLevelType w:val="multilevel"/>
    <w:tmpl w:val="0E9E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A56EB4"/>
    <w:multiLevelType w:val="multilevel"/>
    <w:tmpl w:val="9C607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14045F"/>
    <w:multiLevelType w:val="multilevel"/>
    <w:tmpl w:val="DC9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93253"/>
    <w:multiLevelType w:val="multilevel"/>
    <w:tmpl w:val="B386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630591">
    <w:abstractNumId w:val="3"/>
  </w:num>
  <w:num w:numId="2" w16cid:durableId="1351224929">
    <w:abstractNumId w:val="0"/>
  </w:num>
  <w:num w:numId="3" w16cid:durableId="1684698526">
    <w:abstractNumId w:val="5"/>
  </w:num>
  <w:num w:numId="4" w16cid:durableId="2026667977">
    <w:abstractNumId w:val="2"/>
  </w:num>
  <w:num w:numId="5" w16cid:durableId="92437934">
    <w:abstractNumId w:val="4"/>
  </w:num>
  <w:num w:numId="6" w16cid:durableId="2108773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90"/>
    <w:rsid w:val="001714C6"/>
    <w:rsid w:val="001E3CE4"/>
    <w:rsid w:val="0031634F"/>
    <w:rsid w:val="00733B90"/>
    <w:rsid w:val="00746B29"/>
    <w:rsid w:val="00814451"/>
    <w:rsid w:val="00817FA5"/>
    <w:rsid w:val="00882811"/>
    <w:rsid w:val="00893193"/>
    <w:rsid w:val="00921DC9"/>
    <w:rsid w:val="00B81000"/>
    <w:rsid w:val="00C7696D"/>
    <w:rsid w:val="00D62013"/>
    <w:rsid w:val="00DD0C8B"/>
    <w:rsid w:val="00EC1C38"/>
    <w:rsid w:val="00F56D20"/>
    <w:rsid w:val="00F63456"/>
    <w:rsid w:val="00F64DA9"/>
    <w:rsid w:val="00FD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2CB2"/>
  <w15:chartTrackingRefBased/>
  <w15:docId w15:val="{F871B26A-9852-4E87-974C-541D6302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7FA5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893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cs.r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Vidović</dc:creator>
  <cp:keywords/>
  <dc:description/>
  <cp:lastModifiedBy>Svetlana Jovovic</cp:lastModifiedBy>
  <cp:revision>15</cp:revision>
  <dcterms:created xsi:type="dcterms:W3CDTF">2023-03-02T10:31:00Z</dcterms:created>
  <dcterms:modified xsi:type="dcterms:W3CDTF">2023-04-07T13:56:00Z</dcterms:modified>
</cp:coreProperties>
</file>